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cs="Times New Roman"/>
          <w:b/>
          <w:bCs/>
          <w:sz w:val="28"/>
          <w:szCs w:val="28"/>
        </w:rPr>
      </w:pPr>
      <w:r>
        <w:rPr>
          <w:rFonts w:cs="Times New Roman" w:ascii="Times New Roman" w:hAnsi="Times New Roman"/>
          <w:b/>
          <w:bCs/>
          <w:sz w:val="28"/>
          <w:szCs w:val="28"/>
        </w:rPr>
        <w:t>Northern District Shuffleboard</w:t>
      </w:r>
    </w:p>
    <w:p>
      <w:pPr>
        <w:pStyle w:val="Normal"/>
        <w:jc w:val="center"/>
        <w:rPr>
          <w:rFonts w:ascii="Times New Roman" w:hAnsi="Times New Roman" w:cs="Times New Roman"/>
          <w:b/>
          <w:bCs/>
          <w:sz w:val="28"/>
          <w:szCs w:val="28"/>
        </w:rPr>
      </w:pPr>
      <w:r>
        <w:rPr>
          <w:rFonts w:cs="Times New Roman" w:ascii="Times New Roman" w:hAnsi="Times New Roman"/>
          <w:b/>
          <w:bCs/>
          <w:sz w:val="28"/>
          <w:szCs w:val="28"/>
        </w:rPr>
        <w:t>Standing Rules</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jc w:val="center"/>
        <w:rPr>
          <w:rFonts w:ascii="Times New Roman" w:hAnsi="Times New Roman" w:cs="Times New Roman"/>
          <w:sz w:val="24"/>
          <w:szCs w:val="24"/>
        </w:rPr>
      </w:pPr>
      <w:r>
        <w:rPr>
          <w:rFonts w:cs="Times New Roman" w:ascii="Times New Roman" w:hAnsi="Times New Roman"/>
          <w:sz w:val="24"/>
          <w:szCs w:val="24"/>
        </w:rPr>
        <w:t>Standing Rules Northern District of the FSA</w:t>
      </w:r>
    </w:p>
    <w:p>
      <w:pPr>
        <w:pStyle w:val="Normal"/>
        <w:jc w:val="center"/>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The Mission Statement of the Northern District Florida Shuffleboard Association (NDFSA) is to promote, improve and preserve the game of shuffleboard and to manage tournament play for all district member clubs.</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All NDFSA tournaments shall make awards to four places in the Main event and four places in Consolation for the shuffleboard year.  The year means October 1 to the following September 30.</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 xml:space="preserve">The entry fee for all NDFSA tournaments shall be $8.00 per player.  Of this amount $100.00 plus $.50 per player will go to the Tournament Director and $25.00 to the assistant Tournament Director if an assistant is used. $1.50 </w:t>
      </w:r>
      <w:r>
        <w:rPr>
          <w:rFonts w:cs="Times New Roman" w:ascii="Times New Roman" w:hAnsi="Times New Roman"/>
          <w:color w:val="EE0000"/>
          <w:sz w:val="24"/>
          <w:szCs w:val="24"/>
        </w:rPr>
        <w:t xml:space="preserve"> </w:t>
      </w:r>
      <w:r>
        <w:rPr>
          <w:rFonts w:cs="Times New Roman" w:ascii="Times New Roman" w:hAnsi="Times New Roman"/>
          <w:sz w:val="24"/>
          <w:szCs w:val="24"/>
        </w:rPr>
        <w:t>per player will go to the ND Treasurer to be deposited in the NDFSA account.  On line 8 of the ND financial report $1.50 per player will go to the host club.  The remainder that appears on line 9, plus any sponsor money, will go for prize money and will be distributed in close approximation to the following percentages:  Main event – 20%, 17.5%, 15%, 12.5%.  Consolation – 12.5%, 10%, 7.5%, 5%.  All final amounts will be rounded off to the nearest dollar.  The Financial Report is the responsibility of the Host Club treasurer.</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The Host Club treasurer will post a copy of the financial report by NOON on the first day of the tournament.</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Any Amateur placing in Main event or Consolation for their first time playing in any tournament shall receive a District Amateur pin.  When a District Amateur accumulates five (5) move up points from placing in State or NDFSA tournaments within a three (3) year period they will be awarded a State Amateur pin and designated as State Amateur for the following year.  When a State Amateur accumulates five (5) move up points in a State or NDFSA tournament within a three (3) year period they will be awarded a ND Pro pin and be designated a Pro shuffleboard player for the following year.</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The Tournament of Champions (TOC) shall be non-walking singles with four (4) divisions. The divisions are Pro Men, Pro Ladies, Amateur Men and Amateur Ladies. All matches will be two out of three games of twelve (12) frames or 75 points, whichever comes first.  The Pro and Amateur TOC will be played at the same time and location.  The NDFSA Masters will follow the guidelines in the “Rules Governing the Masters.” (Updated 2024)</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Normal"/>
        <w:ind w:firstLine="720"/>
        <w:rPr>
          <w:rFonts w:ascii="Times New Roman" w:hAnsi="Times New Roman" w:cs="Times New Roman"/>
          <w:sz w:val="24"/>
          <w:szCs w:val="24"/>
        </w:rPr>
      </w:pPr>
      <w:r>
        <w:rPr>
          <w:rFonts w:cs="Times New Roman" w:ascii="Times New Roman" w:hAnsi="Times New Roman"/>
          <w:sz w:val="24"/>
          <w:szCs w:val="24"/>
        </w:rPr>
        <w:t xml:space="preserve">Eligibility for NDSA TOC shall be as follows:  </w:t>
      </w:r>
    </w:p>
    <w:p>
      <w:pPr>
        <w:pStyle w:val="Normal"/>
        <w:ind w:firstLine="720"/>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Members of the NDSA Hall of Fame will have lifetime eligibility.</w:t>
      </w:r>
    </w:p>
    <w:p>
      <w:pPr>
        <w:pStyle w:val="ListParagraph"/>
        <w:ind w:start="1080"/>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Members with a first-place main event win in a northern district or state tournament played in the Northern District will have five (5) years eligibility beginning with the current season.</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Members placing 2</w:t>
      </w:r>
      <w:r>
        <w:rPr>
          <w:rFonts w:cs="Times New Roman" w:ascii="Times New Roman" w:hAnsi="Times New Roman"/>
          <w:sz w:val="24"/>
          <w:szCs w:val="24"/>
          <w:vertAlign w:val="superscript"/>
        </w:rPr>
        <w:t>nd</w:t>
      </w:r>
      <w:r>
        <w:rPr>
          <w:rFonts w:cs="Times New Roman" w:ascii="Times New Roman" w:hAnsi="Times New Roman"/>
          <w:sz w:val="24"/>
          <w:szCs w:val="24"/>
        </w:rPr>
        <w:t>, 3</w:t>
      </w:r>
      <w:r>
        <w:rPr>
          <w:rFonts w:cs="Times New Roman" w:ascii="Times New Roman" w:hAnsi="Times New Roman"/>
          <w:sz w:val="24"/>
          <w:szCs w:val="24"/>
          <w:vertAlign w:val="superscript"/>
        </w:rPr>
        <w:t>rd</w:t>
      </w:r>
      <w:r>
        <w:rPr>
          <w:rFonts w:cs="Times New Roman" w:ascii="Times New Roman" w:hAnsi="Times New Roman"/>
          <w:sz w:val="24"/>
          <w:szCs w:val="24"/>
        </w:rPr>
        <w:t xml:space="preserve"> or 4</w:t>
      </w:r>
      <w:r>
        <w:rPr>
          <w:rFonts w:cs="Times New Roman" w:ascii="Times New Roman" w:hAnsi="Times New Roman"/>
          <w:sz w:val="24"/>
          <w:szCs w:val="24"/>
          <w:vertAlign w:val="superscript"/>
        </w:rPr>
        <w:t>th</w:t>
      </w:r>
      <w:r>
        <w:rPr>
          <w:rFonts w:cs="Times New Roman" w:ascii="Times New Roman" w:hAnsi="Times New Roman"/>
          <w:sz w:val="24"/>
          <w:szCs w:val="24"/>
        </w:rPr>
        <w:t xml:space="preserve"> in the Main event or 1</w:t>
      </w:r>
      <w:r>
        <w:rPr>
          <w:rFonts w:cs="Times New Roman" w:ascii="Times New Roman" w:hAnsi="Times New Roman"/>
          <w:sz w:val="24"/>
          <w:szCs w:val="24"/>
          <w:vertAlign w:val="superscript"/>
        </w:rPr>
        <w:t>st</w:t>
      </w:r>
      <w:r>
        <w:rPr>
          <w:rFonts w:cs="Times New Roman" w:ascii="Times New Roman" w:hAnsi="Times New Roman"/>
          <w:sz w:val="24"/>
          <w:szCs w:val="24"/>
        </w:rPr>
        <w:t xml:space="preserve"> in Consolation in a Northern District tournament will have two (2) years eligibility beginning with the current season. </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2"/>
        </w:numPr>
        <w:rPr>
          <w:rFonts w:ascii="Times New Roman" w:hAnsi="Times New Roman" w:cs="Times New Roman"/>
          <w:sz w:val="24"/>
          <w:szCs w:val="24"/>
        </w:rPr>
      </w:pPr>
      <w:r>
        <w:rPr>
          <w:rFonts w:cs="Times New Roman" w:ascii="Times New Roman" w:hAnsi="Times New Roman"/>
          <w:sz w:val="24"/>
          <w:szCs w:val="24"/>
        </w:rPr>
        <w:t>Members placing 2</w:t>
      </w:r>
      <w:r>
        <w:rPr>
          <w:rFonts w:cs="Times New Roman" w:ascii="Times New Roman" w:hAnsi="Times New Roman"/>
          <w:sz w:val="24"/>
          <w:szCs w:val="24"/>
          <w:vertAlign w:val="superscript"/>
        </w:rPr>
        <w:t>nd</w:t>
      </w:r>
      <w:r>
        <w:rPr>
          <w:rFonts w:cs="Times New Roman" w:ascii="Times New Roman" w:hAnsi="Times New Roman"/>
          <w:sz w:val="24"/>
          <w:szCs w:val="24"/>
        </w:rPr>
        <w:t>, 3</w:t>
      </w:r>
      <w:r>
        <w:rPr>
          <w:rFonts w:cs="Times New Roman" w:ascii="Times New Roman" w:hAnsi="Times New Roman"/>
          <w:sz w:val="24"/>
          <w:szCs w:val="24"/>
          <w:vertAlign w:val="superscript"/>
        </w:rPr>
        <w:t>rd</w:t>
      </w:r>
      <w:r>
        <w:rPr>
          <w:rFonts w:cs="Times New Roman" w:ascii="Times New Roman" w:hAnsi="Times New Roman"/>
          <w:sz w:val="24"/>
          <w:szCs w:val="24"/>
        </w:rPr>
        <w:t>, 4</w:t>
      </w:r>
      <w:r>
        <w:rPr>
          <w:rFonts w:cs="Times New Roman" w:ascii="Times New Roman" w:hAnsi="Times New Roman"/>
          <w:sz w:val="24"/>
          <w:szCs w:val="24"/>
          <w:vertAlign w:val="superscript"/>
        </w:rPr>
        <w:t>th</w:t>
      </w:r>
      <w:r>
        <w:rPr>
          <w:rFonts w:cs="Times New Roman" w:ascii="Times New Roman" w:hAnsi="Times New Roman"/>
          <w:sz w:val="24"/>
          <w:szCs w:val="24"/>
        </w:rPr>
        <w:t xml:space="preserve"> in a Northern District tournament will have one (1) year of eligibility beginning the next season.</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color w:val="FF0000"/>
          <w:sz w:val="24"/>
          <w:szCs w:val="24"/>
        </w:rPr>
      </w:pPr>
      <w:r>
        <w:rPr>
          <w:rFonts w:cs="Times New Roman" w:ascii="Times New Roman" w:hAnsi="Times New Roman"/>
          <w:sz w:val="24"/>
          <w:szCs w:val="24"/>
        </w:rPr>
        <w:t>Masters Tournament.  See Rules Governing the Masters, revised 2024.</w:t>
      </w:r>
    </w:p>
    <w:p>
      <w:pPr>
        <w:pStyle w:val="Normal"/>
        <w:ind w:start="360"/>
        <w:rPr>
          <w:rFonts w:ascii="Times New Roman" w:hAnsi="Times New Roman" w:cs="Times New Roman"/>
          <w:color w:val="FF0000"/>
          <w:sz w:val="24"/>
          <w:szCs w:val="24"/>
        </w:rPr>
      </w:pPr>
      <w:r>
        <w:rPr>
          <w:rFonts w:cs="Times New Roman" w:ascii="Times New Roman" w:hAnsi="Times New Roman"/>
          <w:color w:val="FF0000"/>
          <w:sz w:val="24"/>
          <w:szCs w:val="24"/>
        </w:rPr>
      </w:r>
    </w:p>
    <w:p>
      <w:pPr>
        <w:pStyle w:val="ListParagraph"/>
        <w:numPr>
          <w:ilvl w:val="0"/>
          <w:numId w:val="1"/>
        </w:numPr>
        <w:rPr>
          <w:rFonts w:ascii="Times New Roman" w:hAnsi="Times New Roman" w:cs="Times New Roman"/>
          <w:color w:val="FF0000"/>
          <w:sz w:val="24"/>
          <w:szCs w:val="24"/>
        </w:rPr>
      </w:pPr>
      <w:r>
        <w:rPr>
          <w:rFonts w:cs="Times New Roman" w:ascii="Times New Roman" w:hAnsi="Times New Roman"/>
          <w:sz w:val="24"/>
          <w:szCs w:val="24"/>
        </w:rPr>
        <w:t>The Northern District Tournament schedule for the 2025-2026 season will be used as the fixed schedule for the 2026-2027 season and future seasons.  Prior to the October meeting the 3rd VP/ND Tournament Director will prepare a proposed schedule for the following season.  At the October meeting the 4</w:t>
      </w:r>
      <w:r>
        <w:rPr>
          <w:rFonts w:cs="Times New Roman" w:ascii="Times New Roman" w:hAnsi="Times New Roman"/>
          <w:sz w:val="24"/>
          <w:szCs w:val="24"/>
          <w:vertAlign w:val="superscript"/>
        </w:rPr>
        <w:t>th</w:t>
      </w:r>
      <w:r>
        <w:rPr>
          <w:rFonts w:cs="Times New Roman" w:ascii="Times New Roman" w:hAnsi="Times New Roman"/>
          <w:sz w:val="24"/>
          <w:szCs w:val="24"/>
        </w:rPr>
        <w:t xml:space="preserve"> VP/ND Tournament Director will provide a copy of this proposed schedule to each Board member and to each Club President whose club sponsors or desires to sponsor any ND tournaments for the following season.  Any club that sponsors any ND tournaments and desires to change the dates of any of their tournaments will have to do so by contacting another club that would agree to change with them.  After the two club presidents agree to change dates, they or their representatives must sign an agreement to change the dates.  A copy of this agreement must be provided to the ND Tournament Director no later than JANUARY 1.  The ND Tournament Director is authorized to affect those changes.  A club that sponsors any ND Tournaments and that desires to change the type of any tournaments must fill out a special form and submit the form to the 4</w:t>
      </w:r>
      <w:r>
        <w:rPr>
          <w:rFonts w:cs="Times New Roman" w:ascii="Times New Roman" w:hAnsi="Times New Roman"/>
          <w:sz w:val="24"/>
          <w:szCs w:val="24"/>
          <w:vertAlign w:val="superscript"/>
        </w:rPr>
        <w:t xml:space="preserve">th </w:t>
      </w:r>
      <w:r>
        <w:rPr>
          <w:rFonts w:cs="Times New Roman" w:ascii="Times New Roman" w:hAnsi="Times New Roman"/>
          <w:sz w:val="24"/>
          <w:szCs w:val="24"/>
        </w:rPr>
        <w:t>VP/ND Tournament Director no later than JANUARY 1 and the changes will take effect for the current season.  Any request to change the dates or type of any tournament arriving after JANUARY 1, whatever the changes, will be effective for the following year’s proposed schedule.</w:t>
      </w:r>
    </w:p>
    <w:p>
      <w:pPr>
        <w:pStyle w:val="Normal"/>
        <w:rPr>
          <w:rFonts w:ascii="Times New Roman" w:hAnsi="Times New Roman" w:cs="Times New Roman"/>
          <w:color w:val="FF0000"/>
          <w:sz w:val="24"/>
          <w:szCs w:val="24"/>
        </w:rPr>
      </w:pPr>
      <w:r>
        <w:rPr>
          <w:rFonts w:cs="Times New Roman" w:ascii="Times New Roman" w:hAnsi="Times New Roman"/>
          <w:color w:val="FF0000"/>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Due to the limited number of trained tournament directors, it is highly recommended that all clubs train members as directors to run their club tournaments.  The 4</w:t>
      </w:r>
      <w:r>
        <w:rPr>
          <w:rFonts w:cs="Times New Roman" w:ascii="Times New Roman" w:hAnsi="Times New Roman"/>
          <w:sz w:val="24"/>
          <w:szCs w:val="24"/>
          <w:vertAlign w:val="superscript"/>
        </w:rPr>
        <w:t>th</w:t>
      </w:r>
      <w:r>
        <w:rPr>
          <w:rFonts w:cs="Times New Roman" w:ascii="Times New Roman" w:hAnsi="Times New Roman"/>
          <w:sz w:val="24"/>
          <w:szCs w:val="24"/>
        </w:rPr>
        <w:t>VP/ND Tournament Director will assist with the training.  If a club does not have a qualified director, they may enlist one from another club.</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When, due to inclement weather, a ND Tournament cannot be completed on the two (2) scheduled days, that tournament will be finished on the first available Saturday.  In the event of another rained out tournament, the first rained out tournament takes priority.  When this conflicts with a scheduled State or District meeting, that Saturday is considered not available.</w:t>
      </w:r>
    </w:p>
    <w:p>
      <w:pPr>
        <w:pStyle w:val="Normal"/>
        <w:rPr>
          <w:rFonts w:ascii="Times New Roman" w:hAnsi="Times New Roman" w:cs="Times New Roman"/>
          <w:sz w:val="24"/>
          <w:szCs w:val="24"/>
        </w:rPr>
      </w:pPr>
      <w:r>
        <w:rPr>
          <w:rFonts w:cs="Times New Roman" w:ascii="Times New Roman" w:hAnsi="Times New Roman"/>
          <w:color w:val="FF0000"/>
          <w:sz w:val="24"/>
          <w:szCs w:val="24"/>
        </w:rPr>
        <w:t xml:space="preserve"> </w:t>
      </w:r>
    </w:p>
    <w:p>
      <w:pPr>
        <w:pStyle w:val="ListParagraph"/>
        <w:numPr>
          <w:ilvl w:val="0"/>
          <w:numId w:val="1"/>
        </w:numPr>
        <w:spacing w:before="0" w:after="0"/>
        <w:contextualSpacing w:val="false"/>
        <w:rPr>
          <w:rFonts w:ascii="Times New Roman" w:hAnsi="Times New Roman" w:cs="Times New Roman"/>
          <w:sz w:val="24"/>
          <w:szCs w:val="24"/>
        </w:rPr>
      </w:pPr>
      <w:r>
        <w:rPr>
          <w:rFonts w:cs="Times New Roman" w:ascii="Times New Roman" w:hAnsi="Times New Roman"/>
          <w:sz w:val="24"/>
          <w:szCs w:val="24"/>
        </w:rPr>
        <w:t>The berating of a partner, opponent, or tournament volunteer during a ND tournament should be brought to the attention of the Tournament Director.  A 10 point off penalty may be assessed.  Multiple violations by the same individual may result in disqualification at the discretion of the Tournament Director or the Northern District Board.</w:t>
      </w:r>
    </w:p>
    <w:p>
      <w:pPr>
        <w:pStyle w:val="Normal"/>
        <w:rPr>
          <w:rFonts w:ascii="Times New Roman" w:hAnsi="Times New Roman" w:cs="Times New Roman"/>
          <w:sz w:val="24"/>
          <w:szCs w:val="24"/>
        </w:rPr>
      </w:pPr>
      <w:r>
        <w:rPr>
          <w:rFonts w:cs="Times New Roman" w:ascii="Times New Roman" w:hAnsi="Times New Roman"/>
          <w:sz w:val="24"/>
          <w:szCs w:val="24"/>
        </w:rPr>
        <w:t xml:space="preserve"> </w:t>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When the State Hall of Fame Award Banquet is held outside of the Northern District, the ND President and State Delegate or their representative is to be paid with a receipt by the Northern District for banquet tickets and lodging using the FSA guidelines.</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Any changes in the rules must be submitted in writing as a 10-Day Notice.  All 10-Day Notices will be accepted anytime during the year. At the January meeting 10-Day Notices will be read and a copy will be provided to every club president and all elected board members so they can discuss those notices with their club members. 10-Day Notices will not be discussed at the January meeting. All 10-Day Notices will be discussed and voted on at the March meeting.</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The NDFSA shall be guided by the By-Laws of the Florida Shuffleboard Association but may be enhanced to meet NDFSA requirements.</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Hall of Fame rules – The points needed to qualify for the Northern District Hall of Fame is 200.  The player earning 200 points will be admitted to the HOF at the end of the current season provided the NDSA is able to obtain a red jacket prior to the Masters banquet.</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 xml:space="preserve">A.   Masters Points – Points shall be granted in all ND tournaments as follows: Main Event 5-4-3-2, Consolation 2-1-1-1/2.          </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A player has to play a minimum of five (5) tournaments to qualify for the Masters. (March 2019)</w:t>
      </w:r>
    </w:p>
    <w:p>
      <w:pPr>
        <w:pStyle w:val="ListParagraph"/>
        <w:ind w:start="1080"/>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Move Up Points – Main Event 1-1-1-1, Consolation 1/2-1/2-1/2-1/2.</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3"/>
        </w:numPr>
        <w:rPr>
          <w:rFonts w:ascii="Times New Roman" w:hAnsi="Times New Roman" w:cs="Times New Roman"/>
          <w:sz w:val="24"/>
          <w:szCs w:val="24"/>
        </w:rPr>
      </w:pPr>
      <w:r>
        <w:rPr>
          <w:rFonts w:cs="Times New Roman" w:ascii="Times New Roman" w:hAnsi="Times New Roman"/>
          <w:sz w:val="24"/>
          <w:szCs w:val="24"/>
        </w:rPr>
        <w:t>Approved Tournament Directors earn two (2) Masters Points and One (1) Move Up Point if they direct during the season.  This was approved at the District Meeting dated March 22, 2025.</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Tournament Director Compensation – Tournament Directors are paid $100 plus $.50 per player.  A person who wishes to become a tournament director may help a director run a tournament and will be paid $25, to be paid by the Northern District treasurer.  If one time is not considered enough, the ND President may authorize more times and the trainee will be paid $25 each time. If a tournament director must return for a third day to complete a tournament the tournament director may request and receive an additional $25 to be paid by the Northern District treasurer.  No more than two directors will be assigned.</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The Keeper of Records shall receive an annual stipend of $2</w:t>
      </w:r>
      <w:r>
        <w:rPr>
          <w:rFonts w:cs="Times New Roman" w:ascii="Times New Roman" w:hAnsi="Times New Roman"/>
          <w:sz w:val="24"/>
          <w:szCs w:val="24"/>
        </w:rPr>
        <w:t>0</w:t>
      </w:r>
      <w:r>
        <w:rPr>
          <w:rFonts w:cs="Times New Roman" w:ascii="Times New Roman" w:hAnsi="Times New Roman"/>
          <w:sz w:val="24"/>
          <w:szCs w:val="24"/>
        </w:rPr>
        <w:t xml:space="preserve">0. </w:t>
      </w:r>
      <w:r>
        <w:rPr>
          <w:rFonts w:cs="Times New Roman" w:ascii="Times New Roman" w:hAnsi="Times New Roman"/>
          <w:sz w:val="24"/>
          <w:szCs w:val="24"/>
        </w:rPr>
        <w:t xml:space="preserve">Webmaster shall receive an annual stipend of $50.  </w:t>
      </w:r>
      <w:r>
        <w:rPr>
          <w:rFonts w:cs="Times New Roman" w:ascii="Times New Roman" w:hAnsi="Times New Roman"/>
          <w:sz w:val="24"/>
          <w:szCs w:val="24"/>
        </w:rPr>
        <w:t>(voted March 2023)</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It is the responsibility of a team to call their own disc good or no good.  The opposing team   is of course allowed to get up and view the disc if the disc is called good. If there is a disagreement on the call, they are to seek an additional opinion from a player on an adjacent court.  If a team calls their own disc no good, it is </w:t>
      </w:r>
      <w:r>
        <w:rPr>
          <w:rFonts w:cs="Times New Roman" w:ascii="Times New Roman" w:hAnsi="Times New Roman"/>
          <w:sz w:val="24"/>
          <w:szCs w:val="24"/>
          <w:u w:val="single"/>
        </w:rPr>
        <w:t>not</w:t>
      </w:r>
      <w:r>
        <w:rPr>
          <w:rFonts w:cs="Times New Roman" w:ascii="Times New Roman" w:hAnsi="Times New Roman"/>
          <w:sz w:val="24"/>
          <w:szCs w:val="24"/>
        </w:rPr>
        <w:t xml:space="preserve"> the responsibility of the opposing team to overrule that call.  A team is not allowed to overturn their own call at the end of the frame unless that disc is moved by another disc during a shot.   The original disc call stands at the end of the frame if the disc was not touched by any player or other disc.</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ListParagraph"/>
        <w:numPr>
          <w:ilvl w:val="0"/>
          <w:numId w:val="1"/>
        </w:numPr>
        <w:rPr>
          <w:rFonts w:ascii="Times New Roman" w:hAnsi="Times New Roman" w:cs="Times New Roman"/>
          <w:sz w:val="24"/>
          <w:szCs w:val="24"/>
        </w:rPr>
      </w:pPr>
      <w:r>
        <w:rPr>
          <w:rFonts w:cs="Times New Roman" w:ascii="Times New Roman" w:hAnsi="Times New Roman"/>
          <w:sz w:val="24"/>
          <w:szCs w:val="24"/>
        </w:rPr>
        <w:t>If a team must wait for the start of their first match of the day for their opponent to finish their match first, the waiting team will be permitted to practice on a vacant court if one is available.  They may practice until their opponent’s match is finished.</w:t>
      </w:r>
    </w:p>
    <w:p>
      <w:pPr>
        <w:pStyle w:val="ListParagraph"/>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i/>
          <w:iCs/>
          <w:sz w:val="24"/>
          <w:szCs w:val="24"/>
        </w:rPr>
      </w:pPr>
      <w:r>
        <w:rPr>
          <w:rFonts w:cs="Times New Roman" w:ascii="Times New Roman" w:hAnsi="Times New Roman"/>
          <w:i/>
          <w:iCs/>
          <w:sz w:val="24"/>
          <w:szCs w:val="24"/>
        </w:rPr>
        <w:t>Revised March 26, 2022</w:t>
      </w:r>
    </w:p>
    <w:p>
      <w:pPr>
        <w:pStyle w:val="Normal"/>
        <w:rPr>
          <w:rFonts w:ascii="Times New Roman" w:hAnsi="Times New Roman" w:cs="Times New Roman"/>
          <w:i/>
          <w:iCs/>
          <w:sz w:val="24"/>
          <w:szCs w:val="24"/>
        </w:rPr>
      </w:pPr>
      <w:r>
        <w:rPr>
          <w:rFonts w:cs="Times New Roman" w:ascii="Times New Roman" w:hAnsi="Times New Roman"/>
          <w:i/>
          <w:iCs/>
          <w:sz w:val="24"/>
          <w:szCs w:val="24"/>
        </w:rPr>
        <w:t>Revised March 23, 2024</w:t>
      </w:r>
    </w:p>
    <w:p>
      <w:pPr>
        <w:pStyle w:val="Normal"/>
        <w:rPr>
          <w:rFonts w:ascii="Times New Roman" w:hAnsi="Times New Roman" w:cs="Times New Roman"/>
          <w:i/>
          <w:iCs/>
          <w:sz w:val="24"/>
          <w:szCs w:val="24"/>
        </w:rPr>
      </w:pPr>
      <w:r>
        <w:rPr>
          <w:rFonts w:cs="Times New Roman" w:ascii="Times New Roman" w:hAnsi="Times New Roman"/>
          <w:i/>
          <w:iCs/>
          <w:sz w:val="24"/>
          <w:szCs w:val="24"/>
        </w:rPr>
        <w:t>Revised October 25, 2025</w:t>
      </w:r>
    </w:p>
    <w:p>
      <w:pPr>
        <w:pStyle w:val="Normal"/>
        <w:rPr>
          <w:rFonts w:ascii="Times New Roman" w:hAnsi="Times New Roman" w:cs="Times New Roman"/>
          <w:i/>
          <w:iCs/>
          <w:sz w:val="24"/>
          <w:szCs w:val="24"/>
        </w:rPr>
      </w:pPr>
      <w:r>
        <w:rPr>
          <w:rFonts w:cs="Times New Roman" w:ascii="Times New Roman" w:hAnsi="Times New Roman"/>
          <w:i/>
          <w:iCs/>
          <w:sz w:val="24"/>
          <w:szCs w:val="24"/>
        </w:rPr>
        <w:t>Revised January 17, 2026</w:t>
      </w:r>
    </w:p>
    <w:p>
      <w:pPr>
        <w:pStyle w:val="Normal"/>
        <w:rPr/>
      </w:pPr>
      <w:r>
        <w:rPr/>
      </w:r>
    </w:p>
    <w:sectPr>
      <w:footerReference w:type="even" r:id="rId2"/>
      <w:footerReference w:type="default" r:id="rId3"/>
      <w:footerReference w:type="first" r:id="rId4"/>
      <w:type w:val="nextPage"/>
      <w:pgSz w:w="12240" w:h="15840"/>
      <w:pgMar w:left="1440" w:right="1152" w:gutter="0" w:header="0" w:top="720" w:footer="720" w:bottom="77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377466836"/>
    </w:sdtPr>
    <w:sdtContent>
      <w:p>
        <w:pPr>
          <w:pStyle w:val="Footer"/>
          <w:pBdr>
            <w:top w:val="single" w:sz="4" w:space="1" w:color="D9D9D9" w:themeColor="light1" w:themeShade="d9"/>
          </w:pBdr>
          <w:jc w:val="end"/>
          <w:rPr/>
        </w:pPr>
        <w:r>
          <w:rPr/>
          <w:fldChar w:fldCharType="begin"/>
        </w:r>
        <w:r>
          <w:rPr/>
          <w:instrText xml:space="preserve"> PAGE </w:instrText>
        </w:r>
        <w:r>
          <w:rPr/>
          <w:fldChar w:fldCharType="separate"/>
        </w:r>
        <w:r>
          <w:rPr/>
          <w:t>4</w:t>
        </w:r>
        <w:r>
          <w:rPr/>
          <w:fldChar w:fldCharType="end"/>
        </w:r>
        <w:r>
          <w:rPr/>
          <w:t xml:space="preserve"> </w:t>
        </w:r>
        <w:r>
          <w:rPr/>
          <w:t xml:space="preserve">| </w:t>
        </w:r>
        <w:r>
          <w:rPr>
            <w:color w:themeColor="background1" w:themeShade="7f" w:val="7F7F7F"/>
            <w:spacing w:val="60"/>
          </w:rPr>
          <w:t>Page</w:t>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377466836"/>
    </w:sdtPr>
    <w:sdtContent>
      <w:p>
        <w:pPr>
          <w:pStyle w:val="Footer"/>
          <w:pBdr>
            <w:top w:val="single" w:sz="4" w:space="1" w:color="D9D9D9" w:themeColor="light1" w:themeShade="d9"/>
          </w:pBdr>
          <w:jc w:val="end"/>
          <w:rPr/>
        </w:pPr>
        <w:r>
          <w:rPr/>
          <w:fldChar w:fldCharType="begin"/>
        </w:r>
        <w:r>
          <w:rPr/>
          <w:instrText xml:space="preserve"> PAGE </w:instrText>
        </w:r>
        <w:r>
          <w:rPr/>
          <w:fldChar w:fldCharType="separate"/>
        </w:r>
        <w:r>
          <w:rPr/>
          <w:t>4</w:t>
        </w:r>
        <w:r>
          <w:rPr/>
          <w:fldChar w:fldCharType="end"/>
        </w:r>
        <w:r>
          <w:rPr/>
          <w:t xml:space="preserve"> </w:t>
        </w:r>
        <w:r>
          <w:rPr/>
          <w:t xml:space="preserve">| </w:t>
        </w:r>
        <w:r>
          <w:rPr>
            <w:color w:themeColor="background1" w:themeShade="7f" w:val="7F7F7F"/>
            <w:spacing w:val="60"/>
          </w:rPr>
          <w:t>Page</w:t>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720" w:hanging="360"/>
      </w:pPr>
      <w:rPr>
        <w:color w:val="auto"/>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upp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2"/>
      <w:numFmt w:val="upp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start"/>
    </w:pPr>
    <w:rPr>
      <w:rFonts w:ascii="Calibri" w:hAnsi="Calibri" w:eastAsia="Calibri" w:cs="" w:asciiTheme="minorHAnsi" w:cstheme="minorBidi" w:eastAsiaTheme="minorHAnsi" w:hAnsiTheme="minorHAnsi"/>
      <w:color w:val="auto"/>
      <w:kern w:val="2"/>
      <w:sz w:val="22"/>
      <w:szCs w:val="22"/>
      <w:lang w:val="en-US" w:eastAsia="en-US" w:bidi="ar-SA"/>
      <w14:ligatures w14:val="standardContextual"/>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c40e26"/>
    <w:rPr/>
  </w:style>
  <w:style w:type="character" w:styleId="FooterChar" w:customStyle="1">
    <w:name w:val="Footer Char"/>
    <w:basedOn w:val="DefaultParagraphFont"/>
    <w:link w:val="Footer"/>
    <w:uiPriority w:val="99"/>
    <w:qFormat/>
    <w:rsid w:val="00c40e26"/>
    <w:rPr/>
  </w:style>
  <w:style w:type="character" w:styleId="CommentReference">
    <w:name w:val="annotation reference"/>
    <w:basedOn w:val="DefaultParagraphFont"/>
    <w:uiPriority w:val="99"/>
    <w:semiHidden/>
    <w:unhideWhenUsed/>
    <w:qFormat/>
    <w:rsid w:val="00dd2195"/>
    <w:rPr>
      <w:sz w:val="16"/>
      <w:szCs w:val="16"/>
    </w:rPr>
  </w:style>
  <w:style w:type="character" w:styleId="CommentTextChar" w:customStyle="1">
    <w:name w:val="Comment Text Char"/>
    <w:basedOn w:val="DefaultParagraphFont"/>
    <w:link w:val="CommentText"/>
    <w:uiPriority w:val="99"/>
    <w:qFormat/>
    <w:rsid w:val="00dd2195"/>
    <w:rPr>
      <w:sz w:val="20"/>
      <w:szCs w:val="20"/>
    </w:rPr>
  </w:style>
  <w:style w:type="character" w:styleId="CommentSubjectChar" w:customStyle="1">
    <w:name w:val="Comment Subject Char"/>
    <w:basedOn w:val="CommentTextChar"/>
    <w:link w:val="annotationsubject"/>
    <w:uiPriority w:val="99"/>
    <w:semiHidden/>
    <w:qFormat/>
    <w:rsid w:val="00dd2195"/>
    <w:rPr>
      <w:b/>
      <w:bCs/>
      <w:sz w:val="20"/>
      <w:szCs w:val="20"/>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ec3340"/>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c40e26"/>
    <w:pPr>
      <w:tabs>
        <w:tab w:val="clear" w:pos="720"/>
        <w:tab w:val="center" w:pos="4680" w:leader="none"/>
        <w:tab w:val="right" w:pos="9360" w:leader="none"/>
      </w:tabs>
    </w:pPr>
    <w:rPr/>
  </w:style>
  <w:style w:type="paragraph" w:styleId="Footer">
    <w:name w:val="footer"/>
    <w:basedOn w:val="Normal"/>
    <w:link w:val="FooterChar"/>
    <w:uiPriority w:val="99"/>
    <w:unhideWhenUsed/>
    <w:rsid w:val="00c40e26"/>
    <w:pPr>
      <w:tabs>
        <w:tab w:val="clear" w:pos="720"/>
        <w:tab w:val="center" w:pos="4680" w:leader="none"/>
        <w:tab w:val="right" w:pos="9360" w:leader="none"/>
      </w:tabs>
    </w:pPr>
    <w:rPr/>
  </w:style>
  <w:style w:type="paragraph" w:styleId="CommentText">
    <w:name w:val="annotation text"/>
    <w:basedOn w:val="Normal"/>
    <w:link w:val="CommentTextChar"/>
    <w:uiPriority w:val="99"/>
    <w:unhideWhenUsed/>
    <w:rsid w:val="00dd2195"/>
    <w:pPr/>
    <w:rPr>
      <w:sz w:val="20"/>
      <w:szCs w:val="20"/>
    </w:rPr>
  </w:style>
  <w:style w:type="paragraph" w:styleId="annotationsubject">
    <w:name w:val="annotation subject"/>
    <w:basedOn w:val="CommentText"/>
    <w:next w:val="CommentText"/>
    <w:link w:val="CommentSubjectChar"/>
    <w:uiPriority w:val="99"/>
    <w:semiHidden/>
    <w:unhideWhenUsed/>
    <w:qFormat/>
    <w:rsid w:val="00dd2195"/>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TotalTime>
  <Application>LibreOffice/25.8.4.2$Windows_x86 LibreOffice_project/290daaa01b999472f0c7a3890eb6a550fd74c6df</Application>
  <AppVersion>15.0000</AppVersion>
  <DocSecurity>8</DocSecurity>
  <Pages>4</Pages>
  <Words>1535</Words>
  <Characters>7332</Characters>
  <CharactersWithSpaces>8873</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2026-01-18T16:47:00Z</dcterms:created>
  <dc:creator>Cynthia Wonson</dc:creator>
  <dc:description/>
  <dc:language>en-US</dc:language>
  <cp:lastModifiedBy/>
  <cp:lastPrinted>2026-02-06T21:40:00Z</cp:lastPrinted>
  <dcterms:modified xsi:type="dcterms:W3CDTF">2026-02-07T09:12:15Z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